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D80" w:rsidRDefault="00A76D80" w:rsidP="00A76D80">
      <w:pPr>
        <w:rPr>
          <w:b/>
          <w:color w:val="0000FF"/>
          <w:u w:val="single"/>
        </w:rPr>
      </w:pPr>
    </w:p>
    <w:p w:rsidR="00A76D80" w:rsidRDefault="00A76D80" w:rsidP="00A76D80">
      <w:pPr>
        <w:ind w:left="6480"/>
        <w:rPr>
          <w:color w:val="0000FF"/>
        </w:rPr>
      </w:pPr>
      <w:r>
        <w:rPr>
          <w:rFonts w:asciiTheme="minorHAnsi" w:hAnsiTheme="minorHAnsi" w:cstheme="minorBidi"/>
          <w:noProof/>
          <w:sz w:val="22"/>
          <w:szCs w:val="22"/>
        </w:rPr>
        <w:drawing>
          <wp:anchor distT="0" distB="0" distL="114300" distR="114300" simplePos="0" relativeHeight="251662336" behindDoc="0" locked="0" layoutInCell="1" allowOverlap="1">
            <wp:simplePos x="0" y="0"/>
            <wp:positionH relativeFrom="column">
              <wp:posOffset>28575</wp:posOffset>
            </wp:positionH>
            <wp:positionV relativeFrom="paragraph">
              <wp:posOffset>22225</wp:posOffset>
            </wp:positionV>
            <wp:extent cx="1485900" cy="1493520"/>
            <wp:effectExtent l="0" t="0" r="0" b="0"/>
            <wp:wrapSquare wrapText="bothSides"/>
            <wp:docPr id="3" name="Picture 3" descr="DE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93520"/>
                    </a:xfrm>
                    <a:prstGeom prst="rect">
                      <a:avLst/>
                    </a:prstGeom>
                    <a:noFill/>
                  </pic:spPr>
                </pic:pic>
              </a:graphicData>
            </a:graphic>
            <wp14:sizeRelH relativeFrom="page">
              <wp14:pctWidth>0</wp14:pctWidth>
            </wp14:sizeRelH>
            <wp14:sizeRelV relativeFrom="page">
              <wp14:pctHeight>0</wp14:pctHeight>
            </wp14:sizeRelV>
          </wp:anchor>
        </w:drawing>
      </w:r>
      <w:r>
        <w:rPr>
          <w:color w:val="0000FF"/>
        </w:rPr>
        <w:tab/>
      </w:r>
      <w:r>
        <w:rPr>
          <w:color w:val="0000FF"/>
        </w:rPr>
        <w:tab/>
      </w:r>
      <w:r>
        <w:rPr>
          <w:color w:val="0000FF"/>
        </w:rPr>
        <w:tab/>
      </w:r>
      <w:r>
        <w:rPr>
          <w:color w:val="0000FF"/>
        </w:rPr>
        <w:tab/>
      </w:r>
    </w:p>
    <w:p w:rsidR="00A76D80" w:rsidRDefault="001C2926" w:rsidP="00B17C21">
      <w:pPr>
        <w:ind w:left="2160" w:firstLine="720"/>
        <w:jc w:val="right"/>
        <w:rPr>
          <w:b/>
          <w:i/>
        </w:rPr>
      </w:pPr>
      <w:r>
        <w:rPr>
          <w:color w:val="0000FF"/>
        </w:rPr>
        <w:t xml:space="preserve">                    </w:t>
      </w:r>
      <w:r w:rsidR="00A76D80">
        <w:rPr>
          <w:color w:val="0000FF"/>
        </w:rPr>
        <w:t xml:space="preserve"> </w:t>
      </w:r>
      <w:r>
        <w:rPr>
          <w:color w:val="0000FF"/>
        </w:rPr>
        <w:tab/>
      </w:r>
      <w:r w:rsidR="00A76D80">
        <w:rPr>
          <w:b/>
          <w:i/>
        </w:rPr>
        <w:t>Drug Enforcement Administration</w:t>
      </w:r>
    </w:p>
    <w:p w:rsidR="00B17C21" w:rsidRDefault="00B17C21" w:rsidP="00B17C21">
      <w:pPr>
        <w:ind w:left="4320" w:firstLine="720"/>
        <w:jc w:val="right"/>
      </w:pPr>
      <w:r>
        <w:t>Shelly S. Howe, Special Agent in Charge</w:t>
      </w:r>
    </w:p>
    <w:p w:rsidR="00B17C21" w:rsidRDefault="00B17C21" w:rsidP="00B17C21">
      <w:pPr>
        <w:ind w:left="5760" w:hanging="720"/>
        <w:jc w:val="right"/>
      </w:pPr>
      <w:r>
        <w:t>www.dea.gov</w:t>
      </w:r>
    </w:p>
    <w:p w:rsidR="00B17C21" w:rsidRDefault="00B17C21" w:rsidP="00B17C21">
      <w:pPr>
        <w:ind w:left="5040"/>
        <w:jc w:val="right"/>
        <w:rPr>
          <w:rFonts w:eastAsiaTheme="minorHAnsi"/>
          <w:color w:val="000000"/>
          <w:sz w:val="23"/>
          <w:szCs w:val="23"/>
        </w:rPr>
      </w:pPr>
      <w:r>
        <w:rPr>
          <w:rFonts w:eastAsiaTheme="minorHAnsi"/>
          <w:color w:val="000000"/>
          <w:sz w:val="23"/>
          <w:szCs w:val="23"/>
        </w:rPr>
        <w:t>Twitter: @</w:t>
      </w:r>
      <w:proofErr w:type="spellStart"/>
      <w:r>
        <w:rPr>
          <w:rFonts w:eastAsiaTheme="minorHAnsi"/>
          <w:color w:val="000000"/>
          <w:sz w:val="23"/>
          <w:szCs w:val="23"/>
        </w:rPr>
        <w:t>DEASANDIEGODiv</w:t>
      </w:r>
      <w:proofErr w:type="spellEnd"/>
    </w:p>
    <w:p w:rsidR="00B17C21" w:rsidRDefault="00B17C21" w:rsidP="00B17C21">
      <w:pPr>
        <w:ind w:left="5040" w:firstLine="1440"/>
        <w:jc w:val="right"/>
        <w:rPr>
          <w:rFonts w:eastAsia="Helvetica Neue"/>
          <w:color w:val="000000" w:themeColor="text1"/>
        </w:rPr>
      </w:pPr>
    </w:p>
    <w:p w:rsidR="00B17C21" w:rsidRDefault="00B17C21" w:rsidP="00B17C21">
      <w:pPr>
        <w:ind w:left="4950"/>
        <w:jc w:val="right"/>
        <w:rPr>
          <w:color w:val="000000"/>
        </w:rPr>
      </w:pPr>
      <w:r>
        <w:rPr>
          <w:color w:val="000000" w:themeColor="text1"/>
        </w:rPr>
        <w:t>January 2</w:t>
      </w:r>
      <w:r w:rsidR="0030142C">
        <w:rPr>
          <w:color w:val="000000" w:themeColor="text1"/>
        </w:rPr>
        <w:t>9</w:t>
      </w:r>
      <w:bookmarkStart w:id="0" w:name="_GoBack"/>
      <w:bookmarkEnd w:id="0"/>
      <w:r>
        <w:rPr>
          <w:color w:val="000000" w:themeColor="text1"/>
        </w:rPr>
        <w:t>, 2024</w:t>
      </w:r>
    </w:p>
    <w:p w:rsidR="00B17C21" w:rsidRDefault="00B17C21" w:rsidP="00B17C21">
      <w:pPr>
        <w:ind w:left="4950" w:hanging="270"/>
        <w:jc w:val="right"/>
        <w:rPr>
          <w:color w:val="000000"/>
        </w:rPr>
      </w:pPr>
      <w:r>
        <w:rPr>
          <w:color w:val="000000"/>
        </w:rPr>
        <w:t xml:space="preserve">Contact: Kelly McKay, Public Affairs Specialist     </w:t>
      </w:r>
    </w:p>
    <w:p w:rsidR="00A76D80" w:rsidRPr="00B17C21" w:rsidRDefault="00B17C21" w:rsidP="00B17C21">
      <w:pPr>
        <w:ind w:left="5040" w:firstLine="2790"/>
        <w:jc w:val="right"/>
        <w:rPr>
          <w:color w:val="000000"/>
        </w:rPr>
      </w:pPr>
      <w:r>
        <w:rPr>
          <w:color w:val="000000"/>
        </w:rPr>
        <w:t xml:space="preserve">  571-324-6204</w:t>
      </w:r>
      <w:r w:rsidR="00A76D80">
        <w:tab/>
      </w:r>
      <w:r w:rsidR="00A76D80">
        <w:tab/>
      </w:r>
      <w:r w:rsidR="00A76D80">
        <w:tab/>
      </w:r>
      <w:r w:rsidR="00A76D80">
        <w:tab/>
      </w:r>
      <w:r w:rsidR="00A76D80">
        <w:tab/>
      </w:r>
      <w:r w:rsidR="00A76D80">
        <w:tab/>
      </w:r>
      <w:r w:rsidR="00A76D80">
        <w:tab/>
      </w:r>
      <w:r w:rsidR="00A76D80">
        <w:tab/>
      </w:r>
      <w:r w:rsidR="00A76D80">
        <w:tab/>
      </w:r>
      <w:r w:rsidR="00A76D80">
        <w:tab/>
      </w:r>
      <w:r w:rsidR="00A76D80">
        <w:tab/>
      </w:r>
    </w:p>
    <w:p w:rsidR="00A76D80" w:rsidRDefault="00A76D80" w:rsidP="00A76D80">
      <w:pPr>
        <w:rPr>
          <w:b/>
          <w:i/>
          <w:sz w:val="36"/>
          <w:szCs w:val="36"/>
        </w:rPr>
      </w:pPr>
      <w:r>
        <w:rPr>
          <w:rFonts w:asciiTheme="minorHAnsi" w:eastAsiaTheme="minorHAnsi" w:hAnsiTheme="minorHAnsi" w:cstheme="minorBidi"/>
          <w:noProof/>
          <w:sz w:val="22"/>
          <w:szCs w:val="22"/>
        </w:rPr>
        <mc:AlternateContent>
          <mc:Choice Requires="wps">
            <w:drawing>
              <wp:anchor distT="0" distB="0" distL="114300" distR="114300" simplePos="0" relativeHeight="251663360" behindDoc="0" locked="0" layoutInCell="0" allowOverlap="1">
                <wp:simplePos x="0" y="0"/>
                <wp:positionH relativeFrom="column">
                  <wp:posOffset>3520440</wp:posOffset>
                </wp:positionH>
                <wp:positionV relativeFrom="paragraph">
                  <wp:posOffset>6985</wp:posOffset>
                </wp:positionV>
                <wp:extent cx="2657475" cy="31242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D80" w:rsidRDefault="00A76D80" w:rsidP="00A76D80">
                            <w:pPr>
                              <w:tabs>
                                <w:tab w:val="left" w:pos="0"/>
                              </w:tabs>
                              <w:rPr>
                                <w:b/>
                              </w:rPr>
                            </w:pPr>
                            <w:r>
                              <w:rPr>
                                <w:b/>
                                <w:caps/>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77.2pt;margin-top:.55pt;width:209.2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vK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" o:allowincell="f" stroked="f">
                <v:textbox>
                  <w:txbxContent>
                    <w:p w:rsidR="00A76D80" w:rsidRDefault="00A76D80" w:rsidP="00A76D80">
                      <w:pPr>
                        <w:tabs>
                          <w:tab w:val="left" w:pos="0"/>
                        </w:tabs>
                        <w:rPr>
                          <w:b/>
                        </w:rPr>
                      </w:pPr>
                      <w:r>
                        <w:rPr>
                          <w:b/>
                          <w:caps/>
                        </w:rPr>
                        <w:t>For Immediate Release</w:t>
                      </w:r>
                    </w:p>
                  </w:txbxContent>
                </v:textbox>
              </v:shape>
            </w:pict>
          </mc:Fallback>
        </mc:AlternateContent>
      </w:r>
      <w:r>
        <w:rPr>
          <w:b/>
          <w:i/>
          <w:sz w:val="36"/>
          <w:szCs w:val="36"/>
        </w:rPr>
        <w:t>NEWS RELEASE</w:t>
      </w:r>
      <w:r>
        <w:rPr>
          <w:b/>
          <w:i/>
          <w:sz w:val="36"/>
          <w:szCs w:val="36"/>
        </w:rPr>
        <w:tab/>
      </w:r>
      <w:r>
        <w:rPr>
          <w:b/>
          <w:i/>
          <w:sz w:val="36"/>
          <w:szCs w:val="36"/>
        </w:rPr>
        <w:tab/>
      </w:r>
    </w:p>
    <w:p w:rsidR="00A76D80" w:rsidRDefault="00A76D80" w:rsidP="00A76D80">
      <w:pPr>
        <w:rPr>
          <w:rFonts w:eastAsiaTheme="minorHAnsi"/>
          <w:szCs w:val="22"/>
        </w:rPr>
      </w:pPr>
    </w:p>
    <w:p w:rsidR="00A76D80" w:rsidRDefault="00A76D80" w:rsidP="00A76D80">
      <w:pPr>
        <w:jc w:val="center"/>
        <w:rPr>
          <w:b/>
          <w:sz w:val="32"/>
          <w:szCs w:val="32"/>
        </w:rPr>
      </w:pPr>
      <w:r>
        <w:rPr>
          <w:b/>
          <w:sz w:val="32"/>
          <w:szCs w:val="32"/>
        </w:rPr>
        <w:t>Year in Review: DEA</w:t>
      </w:r>
      <w:r w:rsidR="00216F20">
        <w:rPr>
          <w:b/>
          <w:sz w:val="32"/>
          <w:szCs w:val="32"/>
        </w:rPr>
        <w:t xml:space="preserve"> </w:t>
      </w:r>
      <w:r>
        <w:rPr>
          <w:b/>
          <w:sz w:val="32"/>
          <w:szCs w:val="32"/>
        </w:rPr>
        <w:t>Innovate</w:t>
      </w:r>
      <w:r w:rsidR="00216F20">
        <w:rPr>
          <w:b/>
          <w:sz w:val="32"/>
          <w:szCs w:val="32"/>
        </w:rPr>
        <w:t>s</w:t>
      </w:r>
      <w:r>
        <w:rPr>
          <w:b/>
          <w:sz w:val="32"/>
          <w:szCs w:val="32"/>
        </w:rPr>
        <w:t xml:space="preserve"> to Fight Fentanyl</w:t>
      </w:r>
    </w:p>
    <w:p w:rsidR="00A76D80" w:rsidRDefault="00A76D80" w:rsidP="00A76D80">
      <w:pPr>
        <w:rPr>
          <w:b/>
        </w:rPr>
      </w:pPr>
    </w:p>
    <w:p w:rsidR="00A76D80" w:rsidRDefault="00A76D80" w:rsidP="00A76D80">
      <w:r>
        <w:rPr>
          <w:b/>
        </w:rPr>
        <w:t xml:space="preserve">WASHINGTON – </w:t>
      </w:r>
      <w:r>
        <w:t>In 2023, the U.S. Drug Enforcement Administration marked its 50</w:t>
      </w:r>
      <w:r>
        <w:rPr>
          <w:vertAlign w:val="superscript"/>
        </w:rPr>
        <w:t>th</w:t>
      </w:r>
      <w:r>
        <w:t xml:space="preserve"> anniversary as the only federal agency dedicated to </w:t>
      </w:r>
      <w:r w:rsidR="009C78F8">
        <w:t xml:space="preserve">fighting deadly drugs and drug-related violence.  </w:t>
      </w:r>
      <w:r>
        <w:t xml:space="preserve">This milestone celebrated a half century of dedication to fighting drug trafficking in the United States and around the world, which threatens </w:t>
      </w:r>
      <w:r w:rsidR="0028376F">
        <w:t xml:space="preserve">the </w:t>
      </w:r>
      <w:r>
        <w:t xml:space="preserve">public safety, </w:t>
      </w:r>
      <w:r w:rsidR="0028376F">
        <w:t xml:space="preserve">health, and </w:t>
      </w:r>
      <w:r>
        <w:t>national security</w:t>
      </w:r>
      <w:r w:rsidR="0028376F">
        <w:t xml:space="preserve"> of</w:t>
      </w:r>
      <w:r w:rsidR="00391B76">
        <w:t xml:space="preserve"> our country</w:t>
      </w:r>
      <w:r w:rsidR="009C78F8">
        <w:t xml:space="preserve">.  </w:t>
      </w:r>
      <w:r w:rsidR="0028376F">
        <w:t xml:space="preserve">DEA </w:t>
      </w:r>
      <w:r>
        <w:t xml:space="preserve">also ushered in a transformation of DEA’s organization and strategy to meet this extraordinary moment in time as the United States confronts the deadliest drug threat </w:t>
      </w:r>
      <w:r w:rsidR="009C78F8">
        <w:t>our country has ever faced</w:t>
      </w:r>
      <w:r w:rsidR="00A61B76">
        <w:t>—</w:t>
      </w:r>
      <w:r>
        <w:t xml:space="preserve">fentanyl. </w:t>
      </w:r>
    </w:p>
    <w:p w:rsidR="00F24AA8" w:rsidRDefault="00F24AA8" w:rsidP="00A76D80"/>
    <w:p w:rsidR="003654F9" w:rsidRDefault="003654F9" w:rsidP="003654F9">
      <w:r>
        <w:t>Today, fentanyl is the leading cause of death for Americans between the ages of 18 and 45. In calendar year 2023, DEA seized more than 77 million fentanyl pills and nearly 12,000 pounds of fentanyl powder. This is the most fentanyl seized by DEA in a single year. It amounts to more than 386 million deadly doses of fentanyl—enough to kill every American.</w:t>
      </w:r>
    </w:p>
    <w:p w:rsidR="00B17C21" w:rsidRDefault="00B17C21" w:rsidP="003654F9"/>
    <w:p w:rsidR="00B17C21" w:rsidRDefault="00B17C21" w:rsidP="00B17C21">
      <w:pPr>
        <w:pStyle w:val="xmsonormal"/>
      </w:pPr>
      <w:r w:rsidRPr="008C77DC">
        <w:rPr>
          <w:rFonts w:ascii="Times New Roman" w:hAnsi="Times New Roman" w:cs="Times New Roman"/>
          <w:b/>
          <w:bCs/>
          <w:sz w:val="24"/>
          <w:szCs w:val="24"/>
        </w:rPr>
        <w:t xml:space="preserve">The DEA San Diego Field Division, which covers </w:t>
      </w:r>
      <w:r w:rsidR="00614705" w:rsidRPr="008C77DC">
        <w:rPr>
          <w:rFonts w:ascii="Times New Roman" w:hAnsi="Times New Roman" w:cs="Times New Roman"/>
          <w:b/>
          <w:bCs/>
          <w:sz w:val="24"/>
          <w:szCs w:val="24"/>
        </w:rPr>
        <w:t>San Diego and Imperial Counties</w:t>
      </w:r>
      <w:r w:rsidRPr="008C77DC">
        <w:rPr>
          <w:rFonts w:ascii="Times New Roman" w:hAnsi="Times New Roman" w:cs="Times New Roman"/>
          <w:b/>
          <w:bCs/>
          <w:sz w:val="24"/>
          <w:szCs w:val="24"/>
        </w:rPr>
        <w:t xml:space="preserve">, seized </w:t>
      </w:r>
      <w:r w:rsidR="00614705" w:rsidRPr="008C77DC">
        <w:rPr>
          <w:rFonts w:ascii="Times New Roman" w:hAnsi="Times New Roman" w:cs="Times New Roman"/>
          <w:b/>
          <w:bCs/>
          <w:sz w:val="24"/>
          <w:szCs w:val="24"/>
        </w:rPr>
        <w:t>an estimated 1</w:t>
      </w:r>
      <w:r w:rsidRPr="008C77DC">
        <w:rPr>
          <w:rFonts w:ascii="Times New Roman" w:hAnsi="Times New Roman" w:cs="Times New Roman"/>
          <w:b/>
          <w:bCs/>
          <w:sz w:val="24"/>
          <w:szCs w:val="24"/>
        </w:rPr>
        <w:t>1.</w:t>
      </w:r>
      <w:r w:rsidR="00614705" w:rsidRPr="008C77DC">
        <w:rPr>
          <w:rFonts w:ascii="Times New Roman" w:hAnsi="Times New Roman" w:cs="Times New Roman"/>
          <w:b/>
          <w:bCs/>
          <w:sz w:val="24"/>
          <w:szCs w:val="24"/>
        </w:rPr>
        <w:t>4</w:t>
      </w:r>
      <w:r w:rsidRPr="008C77DC">
        <w:rPr>
          <w:rFonts w:ascii="Times New Roman" w:hAnsi="Times New Roman" w:cs="Times New Roman"/>
          <w:b/>
          <w:bCs/>
          <w:sz w:val="24"/>
          <w:szCs w:val="24"/>
        </w:rPr>
        <w:t xml:space="preserve"> million fentanyl pills in calendar year 2023</w:t>
      </w:r>
      <w:r w:rsidR="0030142C">
        <w:rPr>
          <w:rFonts w:ascii="Times New Roman" w:hAnsi="Times New Roman" w:cs="Times New Roman"/>
          <w:b/>
          <w:bCs/>
          <w:sz w:val="24"/>
          <w:szCs w:val="24"/>
        </w:rPr>
        <w:t>; 2.5 times more than was seized in 2022</w:t>
      </w:r>
      <w:r w:rsidRPr="008C77DC">
        <w:rPr>
          <w:rFonts w:ascii="Times New Roman" w:hAnsi="Times New Roman" w:cs="Times New Roman"/>
          <w:b/>
          <w:bCs/>
          <w:sz w:val="24"/>
          <w:szCs w:val="24"/>
        </w:rPr>
        <w:t>.</w:t>
      </w:r>
    </w:p>
    <w:p w:rsidR="00A76D80" w:rsidRDefault="00A76D80" w:rsidP="00A76D80">
      <w:pPr>
        <w:rPr>
          <w:szCs w:val="22"/>
        </w:rPr>
      </w:pPr>
    </w:p>
    <w:p w:rsidR="006B4BE0" w:rsidRDefault="00A06BC3" w:rsidP="00A76D80">
      <w:r>
        <w:t xml:space="preserve">The fentanyl we see today is even deadlier than before. Fentanyl pills today are more potent. </w:t>
      </w:r>
      <w:r w:rsidR="003654F9">
        <w:t xml:space="preserve">DEA laboratory testing </w:t>
      </w:r>
      <w:r w:rsidR="0066692D">
        <w:t>in 2023 showed</w:t>
      </w:r>
      <w:r>
        <w:t xml:space="preserve"> that</w:t>
      </w:r>
      <w:r w:rsidR="003654F9">
        <w:t xml:space="preserve"> </w:t>
      </w:r>
      <w:hyperlink r:id="rId9" w:history="1">
        <w:r w:rsidR="003654F9">
          <w:rPr>
            <w:rStyle w:val="Hyperlink"/>
          </w:rPr>
          <w:t>7 out of 10 pills</w:t>
        </w:r>
      </w:hyperlink>
      <w:r w:rsidR="003654F9">
        <w:t xml:space="preserve"> tested contain a potentially deadly dose of fentanyl</w:t>
      </w:r>
      <w:r w:rsidR="006B4BE0">
        <w:t>. This is an increase from 4 out of 10 pills in 2021 and 6 out of 10 pills in 2022.</w:t>
      </w:r>
      <w:r w:rsidR="003654F9">
        <w:t xml:space="preserve"> A potentially deadly dose is considered just two milligrams of fentanyl, which is approximately the amount that fits on the tip of a pencil.</w:t>
      </w:r>
      <w:r>
        <w:t xml:space="preserve"> </w:t>
      </w:r>
    </w:p>
    <w:p w:rsidR="006B4BE0" w:rsidRDefault="006B4BE0" w:rsidP="006B4BE0"/>
    <w:p w:rsidR="006B4BE0" w:rsidRDefault="00706D47" w:rsidP="006B4BE0">
      <w:r>
        <w:t>T</w:t>
      </w:r>
      <w:r w:rsidR="006B4BE0">
        <w:t xml:space="preserve">he Centers for Disease Control and Prevention is predicting record numbers of drug poisonings for 2023, with their latest estimate for the </w:t>
      </w:r>
      <w:r>
        <w:t>1</w:t>
      </w:r>
      <w:r w:rsidR="006B4BE0">
        <w:t>2</w:t>
      </w:r>
      <w:r>
        <w:t xml:space="preserve">-month period ending </w:t>
      </w:r>
      <w:r w:rsidR="006B4BE0">
        <w:t xml:space="preserve">June 2023 at 112,323 </w:t>
      </w:r>
      <w:r>
        <w:t xml:space="preserve">American </w:t>
      </w:r>
      <w:r w:rsidR="006B4BE0">
        <w:t>lives lost.</w:t>
      </w:r>
      <w:r w:rsidR="003F33AD">
        <w:t xml:space="preserve">  Nearly 70% of these drug poisonings are from fentanyl.  </w:t>
      </w:r>
      <w:r w:rsidR="006B4BE0">
        <w:t xml:space="preserve">  </w:t>
      </w:r>
    </w:p>
    <w:p w:rsidR="006B4BE0" w:rsidRDefault="006B4BE0" w:rsidP="006B4BE0"/>
    <w:p w:rsidR="005B106D" w:rsidRDefault="006673DB" w:rsidP="006673DB">
      <w:r w:rsidRPr="00706D47">
        <w:t xml:space="preserve">DEA has responded to this unprecedented threat with unprecedented action. </w:t>
      </w:r>
      <w:r>
        <w:t xml:space="preserve">DEA’s </w:t>
      </w:r>
      <w:r w:rsidR="0066692D">
        <w:t>mission</w:t>
      </w:r>
      <w:r>
        <w:t xml:space="preserve"> is to </w:t>
      </w:r>
      <w:r w:rsidR="0066692D">
        <w:t xml:space="preserve">save American lives by </w:t>
      </w:r>
      <w:r>
        <w:t>defeat</w:t>
      </w:r>
      <w:r w:rsidR="0066692D">
        <w:t>ing</w:t>
      </w:r>
      <w:r>
        <w:t xml:space="preserve"> the t</w:t>
      </w:r>
      <w:r w:rsidR="00A76D80">
        <w:t>wo cartels</w:t>
      </w:r>
      <w:r>
        <w:t xml:space="preserve"> that</w:t>
      </w:r>
      <w:r w:rsidR="00A76D80">
        <w:t xml:space="preserve"> are responsible for the vast majority of fentanyl that is flooding our country: the Sinaloa Cartel and </w:t>
      </w:r>
      <w:r>
        <w:t xml:space="preserve">the </w:t>
      </w:r>
      <w:r w:rsidR="00A76D80">
        <w:t xml:space="preserve">Jalisco Cartel. </w:t>
      </w:r>
      <w:r>
        <w:t>DEA has built</w:t>
      </w:r>
      <w:r w:rsidRPr="00706D47">
        <w:t xml:space="preserve"> a</w:t>
      </w:r>
      <w:r>
        <w:t xml:space="preserve"> </w:t>
      </w:r>
      <w:r w:rsidRPr="00706D47">
        <w:lastRenderedPageBreak/>
        <w:t>new strategic layer of Counter Threat Teams</w:t>
      </w:r>
      <w:r>
        <w:t xml:space="preserve"> to focus on each cartel and the illicit finance network</w:t>
      </w:r>
      <w:r w:rsidR="0066692D">
        <w:t>s</w:t>
      </w:r>
      <w:r>
        <w:t xml:space="preserve"> that fund them both.</w:t>
      </w:r>
      <w:r w:rsidRPr="00706D47">
        <w:t xml:space="preserve"> These Counter Threat Teams draw on the intelligence from our 334 offices around the world to map the cartels’ </w:t>
      </w:r>
      <w:r>
        <w:t xml:space="preserve">global </w:t>
      </w:r>
      <w:r w:rsidRPr="00706D47">
        <w:t>networks</w:t>
      </w:r>
      <w:r w:rsidR="0066692D">
        <w:t xml:space="preserve"> and to identify targets for investigation and prosecution</w:t>
      </w:r>
      <w:r w:rsidRPr="00706D47">
        <w:t xml:space="preserve">. </w:t>
      </w:r>
      <w:r w:rsidR="00A76D80">
        <w:t>While the</w:t>
      </w:r>
      <w:r>
        <w:t xml:space="preserve"> cartels’ </w:t>
      </w:r>
      <w:r w:rsidR="00A76D80">
        <w:t xml:space="preserve">operations are based in Mexico, DEA has identified </w:t>
      </w:r>
      <w:r w:rsidR="00A61B76">
        <w:t xml:space="preserve">more than </w:t>
      </w:r>
      <w:r w:rsidR="00A76D80">
        <w:t xml:space="preserve">50 additional countries where these </w:t>
      </w:r>
      <w:r w:rsidR="0066692D">
        <w:t>criminal networks</w:t>
      </w:r>
      <w:r w:rsidR="00A76D80">
        <w:t xml:space="preserve"> operate.</w:t>
      </w:r>
      <w:r w:rsidR="001C2926">
        <w:t xml:space="preserve"> </w:t>
      </w:r>
      <w:r w:rsidR="00A76D80">
        <w:t xml:space="preserve">DEA has also traced the </w:t>
      </w:r>
      <w:r w:rsidR="00A61B76">
        <w:t xml:space="preserve">cartels’ </w:t>
      </w:r>
      <w:r w:rsidR="00A76D80">
        <w:t>global supply chain around the world. The cartels purchase chemicals from companies in China, mass produce the fentanyl in Mexico, and then traffic and distribute finished fentanyl widely throughout the United States.</w:t>
      </w:r>
      <w:r w:rsidR="00706D47">
        <w:t xml:space="preserve"> In 2023, DEA took actions to disrupt every step of th</w:t>
      </w:r>
      <w:r>
        <w:t>is</w:t>
      </w:r>
      <w:r w:rsidR="00706D47">
        <w:t xml:space="preserve"> fentanyl supply chain</w:t>
      </w:r>
      <w:r w:rsidRPr="00706D47">
        <w:t>—</w:t>
      </w:r>
      <w:bookmarkStart w:id="1" w:name="OLE_LINK139"/>
      <w:bookmarkStart w:id="2" w:name="OLE_LINK138"/>
      <w:r w:rsidR="0066692D">
        <w:t>from bringing</w:t>
      </w:r>
      <w:r w:rsidR="0066692D">
        <w:rPr>
          <w:rFonts w:eastAsia="Times New Roman"/>
        </w:rPr>
        <w:t xml:space="preserve"> the </w:t>
      </w:r>
      <w:hyperlink r:id="rId10" w:history="1">
        <w:r w:rsidR="0066692D">
          <w:rPr>
            <w:rStyle w:val="Hyperlink"/>
            <w:rFonts w:eastAsia="Times New Roman"/>
          </w:rPr>
          <w:t>first-ever</w:t>
        </w:r>
      </w:hyperlink>
      <w:r w:rsidR="0066692D">
        <w:rPr>
          <w:rFonts w:eastAsia="Times New Roman"/>
        </w:rPr>
        <w:t xml:space="preserve"> </w:t>
      </w:r>
      <w:hyperlink r:id="rId11" w:history="1">
        <w:r w:rsidR="0066692D">
          <w:rPr>
            <w:rStyle w:val="Hyperlink"/>
            <w:rFonts w:eastAsia="Times New Roman"/>
          </w:rPr>
          <w:t>c</w:t>
        </w:r>
        <w:r w:rsidR="003F33AD">
          <w:rPr>
            <w:rStyle w:val="Hyperlink"/>
            <w:rFonts w:eastAsia="Times New Roman"/>
          </w:rPr>
          <w:t>harges</w:t>
        </w:r>
      </w:hyperlink>
      <w:r w:rsidR="0066692D">
        <w:rPr>
          <w:rFonts w:eastAsia="Times New Roman"/>
        </w:rPr>
        <w:t xml:space="preserve"> against Chinese chemical companies and </w:t>
      </w:r>
      <w:r w:rsidR="003F33AD">
        <w:rPr>
          <w:rFonts w:eastAsia="Times New Roman"/>
        </w:rPr>
        <w:t>their owners</w:t>
      </w:r>
      <w:r w:rsidR="0066692D">
        <w:rPr>
          <w:rFonts w:eastAsia="Times New Roman"/>
        </w:rPr>
        <w:t xml:space="preserve"> for supplying precursor chemicals</w:t>
      </w:r>
      <w:bookmarkEnd w:id="1"/>
      <w:bookmarkEnd w:id="2"/>
      <w:r w:rsidR="0066692D">
        <w:rPr>
          <w:rFonts w:eastAsia="Times New Roman"/>
        </w:rPr>
        <w:t xml:space="preserve">, to </w:t>
      </w:r>
      <w:hyperlink r:id="rId12" w:history="1">
        <w:r w:rsidR="0066692D">
          <w:rPr>
            <w:rStyle w:val="Hyperlink"/>
            <w:rFonts w:eastAsia="Times New Roman"/>
          </w:rPr>
          <w:t>c</w:t>
        </w:r>
        <w:r w:rsidR="003F33AD">
          <w:rPr>
            <w:rStyle w:val="Hyperlink"/>
            <w:rFonts w:eastAsia="Times New Roman"/>
          </w:rPr>
          <w:t>harging</w:t>
        </w:r>
      </w:hyperlink>
      <w:r w:rsidR="0066692D">
        <w:rPr>
          <w:rFonts w:eastAsia="Times New Roman"/>
        </w:rPr>
        <w:t xml:space="preserve"> </w:t>
      </w:r>
      <w:r w:rsidR="003F33AD">
        <w:rPr>
          <w:rFonts w:eastAsia="Times New Roman"/>
        </w:rPr>
        <w:t xml:space="preserve">and </w:t>
      </w:r>
      <w:hyperlink r:id="rId13" w:history="1">
        <w:r w:rsidR="003F33AD" w:rsidRPr="003F33AD">
          <w:rPr>
            <w:rStyle w:val="Hyperlink"/>
            <w:rFonts w:eastAsia="Times New Roman"/>
          </w:rPr>
          <w:t>extraditing</w:t>
        </w:r>
      </w:hyperlink>
      <w:r w:rsidR="003F33AD">
        <w:rPr>
          <w:rFonts w:eastAsia="Times New Roman"/>
        </w:rPr>
        <w:t xml:space="preserve"> </w:t>
      </w:r>
      <w:r w:rsidR="0066692D">
        <w:rPr>
          <w:rFonts w:eastAsia="Times New Roman"/>
        </w:rPr>
        <w:t>leaders</w:t>
      </w:r>
      <w:r w:rsidR="003F33AD">
        <w:rPr>
          <w:rFonts w:eastAsia="Times New Roman"/>
        </w:rPr>
        <w:t>, enforcers,</w:t>
      </w:r>
      <w:r w:rsidR="0066692D">
        <w:rPr>
          <w:rFonts w:eastAsia="Times New Roman"/>
        </w:rPr>
        <w:t xml:space="preserve"> and associates of the</w:t>
      </w:r>
      <w:r w:rsidR="00496DDB">
        <w:rPr>
          <w:rFonts w:eastAsia="Times New Roman"/>
        </w:rPr>
        <w:t xml:space="preserve"> cartels in Mexico,</w:t>
      </w:r>
      <w:r w:rsidR="0066692D">
        <w:rPr>
          <w:rFonts w:eastAsia="Times New Roman"/>
        </w:rPr>
        <w:t xml:space="preserve"> to </w:t>
      </w:r>
      <w:hyperlink r:id="rId14" w:history="1">
        <w:r w:rsidR="005B106D">
          <w:rPr>
            <w:rStyle w:val="Hyperlink"/>
            <w:rFonts w:eastAsia="Times New Roman"/>
          </w:rPr>
          <w:t>tracking down</w:t>
        </w:r>
      </w:hyperlink>
      <w:r w:rsidR="0066692D">
        <w:rPr>
          <w:rFonts w:eastAsia="Times New Roman"/>
        </w:rPr>
        <w:t xml:space="preserve"> </w:t>
      </w:r>
      <w:r w:rsidR="005B106D" w:rsidRPr="00706D47">
        <w:t>the criminal organizations and individuals in our communities responsible for the last mile of distribution of fentanyl on our streets and on social media</w:t>
      </w:r>
      <w:r w:rsidR="00FA0215">
        <w:t>.</w:t>
      </w:r>
      <w:r w:rsidR="005B106D">
        <w:t xml:space="preserve"> </w:t>
      </w:r>
    </w:p>
    <w:p w:rsidR="00FA0215" w:rsidRDefault="00FA0215" w:rsidP="00A76D80"/>
    <w:p w:rsidR="004A3AD1" w:rsidRDefault="006673DB" w:rsidP="00A76D80">
      <w:r>
        <w:t xml:space="preserve">These are </w:t>
      </w:r>
      <w:r w:rsidRPr="006673DB">
        <w:t>DEA’s latest action</w:t>
      </w:r>
      <w:r>
        <w:t>s</w:t>
      </w:r>
      <w:r w:rsidRPr="006673DB">
        <w:t xml:space="preserve"> in our unwavering commitment to protect the lives of Americans</w:t>
      </w:r>
      <w:r>
        <w:t>.</w:t>
      </w:r>
      <w:r w:rsidR="004A3AD1">
        <w:t xml:space="preserve"> </w:t>
      </w:r>
      <w:r w:rsidR="00A76D80">
        <w:t>DEA remains relentlessly focused on one unifying mission</w:t>
      </w:r>
      <w:r>
        <w:t>—</w:t>
      </w:r>
      <w:r w:rsidR="00A76D80">
        <w:t>saving American lives.</w:t>
      </w:r>
      <w:r w:rsidR="001C2926">
        <w:t xml:space="preserve"> </w:t>
      </w:r>
      <w:r w:rsidR="00A76D80">
        <w:t xml:space="preserve">DEA will continue to </w:t>
      </w:r>
      <w:r w:rsidR="004A3AD1">
        <w:t xml:space="preserve">act, </w:t>
      </w:r>
      <w:r>
        <w:t>innovate</w:t>
      </w:r>
      <w:r w:rsidR="004A3AD1">
        <w:t>,</w:t>
      </w:r>
      <w:r>
        <w:t xml:space="preserve"> and follow a </w:t>
      </w:r>
      <w:r w:rsidR="00A76D80">
        <w:t xml:space="preserve">data-driven, intelligence-led approach, to </w:t>
      </w:r>
      <w:r>
        <w:t xml:space="preserve">defeat the fentanyl threat and </w:t>
      </w:r>
      <w:r w:rsidR="00A76D80">
        <w:t>meet the challenges of to</w:t>
      </w:r>
      <w:r w:rsidR="004A3AD1">
        <w:t>morrow.</w:t>
      </w:r>
    </w:p>
    <w:p w:rsidR="006673DB" w:rsidRDefault="006673DB" w:rsidP="00A76D80"/>
    <w:p w:rsidR="00052248" w:rsidRPr="001C2926" w:rsidRDefault="00A76D80" w:rsidP="001C2926">
      <w:pPr>
        <w:jc w:val="center"/>
      </w:pPr>
      <w:r>
        <w:t># # #</w:t>
      </w:r>
    </w:p>
    <w:sectPr w:rsidR="00052248" w:rsidRPr="001C2926">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9E8" w:rsidRDefault="005729E8">
      <w:r>
        <w:separator/>
      </w:r>
    </w:p>
  </w:endnote>
  <w:endnote w:type="continuationSeparator" w:id="0">
    <w:p w:rsidR="005729E8" w:rsidRDefault="0057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AF0" w:rsidRDefault="0066533B">
    <w:pPr>
      <w:pStyle w:val="Footer"/>
      <w:tabs>
        <w:tab w:val="clear" w:pos="9360"/>
        <w:tab w:val="right" w:pos="9340"/>
      </w:tabs>
      <w:jc w:val="right"/>
    </w:pP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391B76">
      <w:rPr>
        <w:rFonts w:ascii="Arial" w:hAnsi="Arial"/>
        <w:noProof/>
        <w:sz w:val="20"/>
        <w:szCs w:val="20"/>
      </w:rPr>
      <w:t>2</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9E8" w:rsidRDefault="005729E8">
      <w:r>
        <w:separator/>
      </w:r>
    </w:p>
  </w:footnote>
  <w:footnote w:type="continuationSeparator" w:id="0">
    <w:p w:rsidR="005729E8" w:rsidRDefault="0057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AF0" w:rsidRDefault="0066533B">
    <w:pPr>
      <w:pStyle w:val="Header"/>
      <w:tabs>
        <w:tab w:val="clear" w:pos="9360"/>
        <w:tab w:val="right" w:pos="9340"/>
      </w:tabs>
    </w:pPr>
    <w:r>
      <w:rPr>
        <w:noProof/>
      </w:rPr>
      <w:drawing>
        <wp:anchor distT="152400" distB="152400" distL="152400" distR="152400" simplePos="0" relativeHeight="251658240" behindDoc="1" locked="0" layoutInCell="1" allowOverlap="1">
          <wp:simplePos x="0" y="0"/>
          <wp:positionH relativeFrom="page">
            <wp:posOffset>-35560</wp:posOffset>
          </wp:positionH>
          <wp:positionV relativeFrom="page">
            <wp:posOffset>10160</wp:posOffset>
          </wp:positionV>
          <wp:extent cx="7802245" cy="789941"/>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rcRect l="6763" r="6762"/>
                  <a:stretch>
                    <a:fillRect/>
                  </a:stretch>
                </pic:blipFill>
                <pic:spPr>
                  <a:xfrm>
                    <a:off x="0" y="0"/>
                    <a:ext cx="7802245" cy="7899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3946"/>
    <w:multiLevelType w:val="hybridMultilevel"/>
    <w:tmpl w:val="EFA42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B0B49"/>
    <w:multiLevelType w:val="hybridMultilevel"/>
    <w:tmpl w:val="3DF07074"/>
    <w:lvl w:ilvl="0" w:tplc="98963478">
      <w:start w:val="4"/>
      <w:numFmt w:val="bullet"/>
      <w:lvlText w:val=""/>
      <w:lvlJc w:val="left"/>
      <w:pPr>
        <w:ind w:left="1800" w:hanging="360"/>
      </w:pPr>
      <w:rPr>
        <w:rFonts w:ascii="Symbol" w:eastAsia="Arial Unicode MS" w:hAnsi="Symbo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E05CFA"/>
    <w:multiLevelType w:val="hybridMultilevel"/>
    <w:tmpl w:val="BCA6C2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65EDA"/>
    <w:multiLevelType w:val="hybridMultilevel"/>
    <w:tmpl w:val="F2309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9071EE"/>
    <w:multiLevelType w:val="hybridMultilevel"/>
    <w:tmpl w:val="E6E2F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726BB4"/>
    <w:multiLevelType w:val="hybridMultilevel"/>
    <w:tmpl w:val="3BEAE47E"/>
    <w:numStyleLink w:val="ImportedStyle1"/>
  </w:abstractNum>
  <w:abstractNum w:abstractNumId="6" w15:restartNumberingAfterBreak="0">
    <w:nsid w:val="2C021557"/>
    <w:multiLevelType w:val="hybridMultilevel"/>
    <w:tmpl w:val="05C6EEC4"/>
    <w:lvl w:ilvl="0" w:tplc="5D46CDBE">
      <w:start w:val="1"/>
      <w:numFmt w:val="decimal"/>
      <w:lvlText w:val="%1."/>
      <w:lvlJc w:val="left"/>
      <w:pPr>
        <w:ind w:left="720" w:hanging="360"/>
      </w:pPr>
      <w:rPr>
        <w:rFonts w:ascii="Cambria" w:eastAsia="Arial Unicode MS" w:hAnsi="Cambria" w:cs="Arial Unicode MS"/>
      </w:rPr>
    </w:lvl>
    <w:lvl w:ilvl="1" w:tplc="5A9C8D52">
      <w:numFmt w:val="bullet"/>
      <w:lvlText w:val="-"/>
      <w:lvlJc w:val="left"/>
      <w:pPr>
        <w:ind w:left="1440" w:hanging="360"/>
      </w:pPr>
      <w:rPr>
        <w:rFonts w:ascii="Verdana" w:eastAsia="Times New Roman"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562BC"/>
    <w:multiLevelType w:val="hybridMultilevel"/>
    <w:tmpl w:val="2ADECA94"/>
    <w:lvl w:ilvl="0" w:tplc="1EAC216A">
      <w:start w:val="4"/>
      <w:numFmt w:val="bullet"/>
      <w:lvlText w:val=""/>
      <w:lvlJc w:val="left"/>
      <w:pPr>
        <w:ind w:left="1800" w:hanging="360"/>
      </w:pPr>
      <w:rPr>
        <w:rFonts w:ascii="Symbol" w:eastAsia="Arial Unicode MS" w:hAnsi="Symbo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D93559"/>
    <w:multiLevelType w:val="hybridMultilevel"/>
    <w:tmpl w:val="B9B4D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93680A"/>
    <w:multiLevelType w:val="hybridMultilevel"/>
    <w:tmpl w:val="3BEAE47E"/>
    <w:styleLink w:val="ImportedStyle1"/>
    <w:lvl w:ilvl="0" w:tplc="6DA25F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8DAB27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E98AD88">
      <w:start w:val="1"/>
      <w:numFmt w:val="lowerRoman"/>
      <w:lvlText w:val="%3."/>
      <w:lvlJc w:val="left"/>
      <w:pPr>
        <w:ind w:left="216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B340339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42CE5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3A5274">
      <w:start w:val="1"/>
      <w:numFmt w:val="lowerRoman"/>
      <w:lvlText w:val="%6."/>
      <w:lvlJc w:val="left"/>
      <w:pPr>
        <w:ind w:left="432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C6B231E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86239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28CF886">
      <w:start w:val="1"/>
      <w:numFmt w:val="lowerRoman"/>
      <w:lvlText w:val="%9."/>
      <w:lvlJc w:val="left"/>
      <w:pPr>
        <w:ind w:left="6480"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B31C0F"/>
    <w:multiLevelType w:val="hybridMultilevel"/>
    <w:tmpl w:val="9C88A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E118EB"/>
    <w:multiLevelType w:val="hybridMultilevel"/>
    <w:tmpl w:val="FB629A9E"/>
    <w:lvl w:ilvl="0" w:tplc="C4544EE4">
      <w:start w:val="5"/>
      <w:numFmt w:val="bullet"/>
      <w:lvlText w:val="-"/>
      <w:lvlJc w:val="left"/>
      <w:pPr>
        <w:ind w:left="1080" w:hanging="360"/>
      </w:pPr>
      <w:rPr>
        <w:rFonts w:ascii="Cambria" w:eastAsia="Arial Unicode MS" w:hAnsi="Cambria"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DD498E"/>
    <w:multiLevelType w:val="hybridMultilevel"/>
    <w:tmpl w:val="462A1C60"/>
    <w:lvl w:ilvl="0" w:tplc="2B3C0574">
      <w:start w:val="8"/>
      <w:numFmt w:val="bullet"/>
      <w:lvlText w:val=""/>
      <w:lvlJc w:val="left"/>
      <w:pPr>
        <w:ind w:left="108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04050"/>
    <w:multiLevelType w:val="hybridMultilevel"/>
    <w:tmpl w:val="CF28D268"/>
    <w:lvl w:ilvl="0" w:tplc="BBA8BC70">
      <w:start w:val="1"/>
      <w:numFmt w:val="bullet"/>
      <w:lvlText w:val="-"/>
      <w:lvlJc w:val="left"/>
      <w:pPr>
        <w:ind w:left="1440" w:hanging="360"/>
      </w:pPr>
      <w:rPr>
        <w:rFonts w:ascii="Cambria" w:eastAsia="Arial Unicode MS" w:hAnsi="Cambria"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306F65"/>
    <w:multiLevelType w:val="hybridMultilevel"/>
    <w:tmpl w:val="49D4DAA4"/>
    <w:lvl w:ilvl="0" w:tplc="59B6F360">
      <w:start w:val="1"/>
      <w:numFmt w:val="bullet"/>
      <w:lvlText w:val="-"/>
      <w:lvlJc w:val="left"/>
      <w:pPr>
        <w:ind w:left="1800" w:hanging="360"/>
      </w:pPr>
      <w:rPr>
        <w:rFonts w:ascii="Cambria" w:eastAsia="Arial Unicode MS" w:hAnsi="Cambria"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F9707D"/>
    <w:multiLevelType w:val="hybridMultilevel"/>
    <w:tmpl w:val="A86CCF36"/>
    <w:lvl w:ilvl="0" w:tplc="2B3C0574">
      <w:start w:val="8"/>
      <w:numFmt w:val="bullet"/>
      <w:lvlText w:val=""/>
      <w:lvlJc w:val="left"/>
      <w:pPr>
        <w:ind w:left="1080" w:hanging="360"/>
      </w:pPr>
      <w:rPr>
        <w:rFonts w:ascii="Symbol" w:eastAsia="Cambria"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721A6D"/>
    <w:multiLevelType w:val="hybridMultilevel"/>
    <w:tmpl w:val="022A77C4"/>
    <w:lvl w:ilvl="0" w:tplc="59B6F360">
      <w:start w:val="1"/>
      <w:numFmt w:val="bullet"/>
      <w:lvlText w:val="-"/>
      <w:lvlJc w:val="left"/>
      <w:pPr>
        <w:ind w:left="2520" w:hanging="360"/>
      </w:pPr>
      <w:rPr>
        <w:rFonts w:ascii="Cambria" w:eastAsia="Arial Unicode MS" w:hAnsi="Cambria" w:cs="Arial Unicode M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432ADE"/>
    <w:multiLevelType w:val="hybridMultilevel"/>
    <w:tmpl w:val="8EC8F33A"/>
    <w:lvl w:ilvl="0" w:tplc="59B6F360">
      <w:start w:val="1"/>
      <w:numFmt w:val="bullet"/>
      <w:lvlText w:val="-"/>
      <w:lvlJc w:val="left"/>
      <w:pPr>
        <w:ind w:left="2520" w:hanging="360"/>
      </w:pPr>
      <w:rPr>
        <w:rFonts w:ascii="Cambria" w:eastAsia="Arial Unicode MS" w:hAnsi="Cambria" w:cs="Arial Unicode M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5"/>
    <w:lvlOverride w:ilvl="0">
      <w:lvl w:ilvl="0" w:tplc="F3EE798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70E344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40674C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BC440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5E28DC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5924A06">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8A4744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FEC48B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C40C3D4">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5"/>
  </w:num>
  <w:num w:numId="5">
    <w:abstractNumId w:val="12"/>
  </w:num>
  <w:num w:numId="6">
    <w:abstractNumId w:val="0"/>
  </w:num>
  <w:num w:numId="7">
    <w:abstractNumId w:val="8"/>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num>
  <w:num w:numId="15">
    <w:abstractNumId w:val="7"/>
  </w:num>
  <w:num w:numId="16">
    <w:abstractNumId w:val="1"/>
  </w:num>
  <w:num w:numId="17">
    <w:abstractNumId w:val="11"/>
  </w:num>
  <w:num w:numId="18">
    <w:abstractNumId w:val="2"/>
  </w:num>
  <w:num w:numId="19">
    <w:abstractNumId w:val="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F0"/>
    <w:rsid w:val="00005C9A"/>
    <w:rsid w:val="00013CFC"/>
    <w:rsid w:val="000330A9"/>
    <w:rsid w:val="00033DEB"/>
    <w:rsid w:val="00052248"/>
    <w:rsid w:val="000D7090"/>
    <w:rsid w:val="000F27E5"/>
    <w:rsid w:val="00104581"/>
    <w:rsid w:val="00105396"/>
    <w:rsid w:val="00145229"/>
    <w:rsid w:val="0017548A"/>
    <w:rsid w:val="00184F15"/>
    <w:rsid w:val="00195ADF"/>
    <w:rsid w:val="001C2926"/>
    <w:rsid w:val="001F67AF"/>
    <w:rsid w:val="00216F20"/>
    <w:rsid w:val="002428E1"/>
    <w:rsid w:val="00273098"/>
    <w:rsid w:val="0028376F"/>
    <w:rsid w:val="002F5C8D"/>
    <w:rsid w:val="0030142C"/>
    <w:rsid w:val="00310EF3"/>
    <w:rsid w:val="003309D4"/>
    <w:rsid w:val="003654F9"/>
    <w:rsid w:val="00383DB3"/>
    <w:rsid w:val="00391B76"/>
    <w:rsid w:val="003B2DB4"/>
    <w:rsid w:val="003B4715"/>
    <w:rsid w:val="003D4400"/>
    <w:rsid w:val="003F33AD"/>
    <w:rsid w:val="0040466F"/>
    <w:rsid w:val="00460DB1"/>
    <w:rsid w:val="00465D14"/>
    <w:rsid w:val="0048210E"/>
    <w:rsid w:val="004861C2"/>
    <w:rsid w:val="00496DDB"/>
    <w:rsid w:val="004A3AD1"/>
    <w:rsid w:val="004B27B7"/>
    <w:rsid w:val="004D0BE7"/>
    <w:rsid w:val="004D579B"/>
    <w:rsid w:val="005249A7"/>
    <w:rsid w:val="005538E0"/>
    <w:rsid w:val="00565A92"/>
    <w:rsid w:val="005729E8"/>
    <w:rsid w:val="005B106D"/>
    <w:rsid w:val="005F188E"/>
    <w:rsid w:val="00607F6A"/>
    <w:rsid w:val="00614705"/>
    <w:rsid w:val="0066533B"/>
    <w:rsid w:val="0066692D"/>
    <w:rsid w:val="006673DB"/>
    <w:rsid w:val="006879FF"/>
    <w:rsid w:val="006B4BE0"/>
    <w:rsid w:val="006B6D0C"/>
    <w:rsid w:val="006C0086"/>
    <w:rsid w:val="006F0DD1"/>
    <w:rsid w:val="006F3FFC"/>
    <w:rsid w:val="00700144"/>
    <w:rsid w:val="00706D47"/>
    <w:rsid w:val="00722504"/>
    <w:rsid w:val="00742B7C"/>
    <w:rsid w:val="00776620"/>
    <w:rsid w:val="007E0EC9"/>
    <w:rsid w:val="008053FF"/>
    <w:rsid w:val="008222B1"/>
    <w:rsid w:val="00824257"/>
    <w:rsid w:val="00832B22"/>
    <w:rsid w:val="00835D78"/>
    <w:rsid w:val="008B74A8"/>
    <w:rsid w:val="008C2159"/>
    <w:rsid w:val="008C77DC"/>
    <w:rsid w:val="00936C21"/>
    <w:rsid w:val="009C78F8"/>
    <w:rsid w:val="00A06BC3"/>
    <w:rsid w:val="00A32E54"/>
    <w:rsid w:val="00A61B76"/>
    <w:rsid w:val="00A76D80"/>
    <w:rsid w:val="00A9718A"/>
    <w:rsid w:val="00B00805"/>
    <w:rsid w:val="00B175A9"/>
    <w:rsid w:val="00B17C21"/>
    <w:rsid w:val="00B86700"/>
    <w:rsid w:val="00B961D2"/>
    <w:rsid w:val="00BB4BB2"/>
    <w:rsid w:val="00C83FC8"/>
    <w:rsid w:val="00C9485F"/>
    <w:rsid w:val="00CC2801"/>
    <w:rsid w:val="00CE7D69"/>
    <w:rsid w:val="00D66C75"/>
    <w:rsid w:val="00D67DC3"/>
    <w:rsid w:val="00D85334"/>
    <w:rsid w:val="00DB1A2A"/>
    <w:rsid w:val="00DD6217"/>
    <w:rsid w:val="00E50DD7"/>
    <w:rsid w:val="00E85413"/>
    <w:rsid w:val="00EB03A8"/>
    <w:rsid w:val="00EB079C"/>
    <w:rsid w:val="00EB2AF0"/>
    <w:rsid w:val="00F01CDF"/>
    <w:rsid w:val="00F033A4"/>
    <w:rsid w:val="00F053B8"/>
    <w:rsid w:val="00F24AA8"/>
    <w:rsid w:val="00F35CA7"/>
    <w:rsid w:val="00FA0215"/>
    <w:rsid w:val="00FC60C2"/>
    <w:rsid w:val="00FE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AFC4"/>
  <w15:docId w15:val="{D0D03193-CFF8-462A-AF63-A8CFF5ED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ambria" w:eastAsia="Cambria" w:hAnsi="Cambria" w:cs="Cambria"/>
      <w:outline w:val="0"/>
      <w:color w:val="0000FF"/>
      <w:sz w:val="24"/>
      <w:szCs w:val="24"/>
      <w:u w:val="single" w:color="0000FF"/>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Link"/>
    <w:rPr>
      <w:rFonts w:ascii="Cambria" w:eastAsia="Cambria" w:hAnsi="Cambria" w:cs="Cambria"/>
      <w:outline w:val="0"/>
      <w:color w:val="0000FF"/>
      <w:u w:val="single" w:color="0000FF"/>
    </w:rPr>
  </w:style>
  <w:style w:type="character" w:customStyle="1" w:styleId="None">
    <w:name w:val="None"/>
  </w:style>
  <w:style w:type="character" w:customStyle="1" w:styleId="Hyperlink2">
    <w:name w:val="Hyperlink.2"/>
    <w:basedOn w:val="None"/>
    <w:rPr>
      <w:rFonts w:ascii="Cambria" w:eastAsia="Cambria" w:hAnsi="Cambria" w:cs="Cambria"/>
      <w:outline w:val="0"/>
      <w:color w:val="0000FF"/>
      <w:u w:val="single" w:color="0000FF"/>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3">
    <w:name w:val="Hyperlink.3"/>
    <w:basedOn w:val="None"/>
    <w:rPr>
      <w:outline w:val="0"/>
      <w:color w:val="0072ED"/>
    </w:rPr>
  </w:style>
  <w:style w:type="character" w:styleId="FollowedHyperlink">
    <w:name w:val="FollowedHyperlink"/>
    <w:basedOn w:val="DefaultParagraphFont"/>
    <w:uiPriority w:val="99"/>
    <w:semiHidden/>
    <w:unhideWhenUsed/>
    <w:rsid w:val="00776620"/>
    <w:rPr>
      <w:color w:val="FF00FF" w:themeColor="followedHyperlink"/>
      <w:u w:val="single"/>
    </w:rPr>
  </w:style>
  <w:style w:type="character" w:customStyle="1" w:styleId="UnresolvedMention1">
    <w:name w:val="Unresolved Mention1"/>
    <w:basedOn w:val="DefaultParagraphFont"/>
    <w:uiPriority w:val="99"/>
    <w:semiHidden/>
    <w:unhideWhenUsed/>
    <w:rsid w:val="0066692D"/>
    <w:rPr>
      <w:color w:val="605E5C"/>
      <w:shd w:val="clear" w:color="auto" w:fill="E1DFDD"/>
    </w:rPr>
  </w:style>
  <w:style w:type="paragraph" w:customStyle="1" w:styleId="xmsonormal">
    <w:name w:val="x_msonormal"/>
    <w:basedOn w:val="Normal"/>
    <w:rsid w:val="00B17C2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561">
      <w:bodyDiv w:val="1"/>
      <w:marLeft w:val="0"/>
      <w:marRight w:val="0"/>
      <w:marTop w:val="0"/>
      <w:marBottom w:val="0"/>
      <w:divBdr>
        <w:top w:val="none" w:sz="0" w:space="0" w:color="auto"/>
        <w:left w:val="none" w:sz="0" w:space="0" w:color="auto"/>
        <w:bottom w:val="none" w:sz="0" w:space="0" w:color="auto"/>
        <w:right w:val="none" w:sz="0" w:space="0" w:color="auto"/>
      </w:divBdr>
    </w:div>
    <w:div w:id="428434571">
      <w:bodyDiv w:val="1"/>
      <w:marLeft w:val="0"/>
      <w:marRight w:val="0"/>
      <w:marTop w:val="0"/>
      <w:marBottom w:val="0"/>
      <w:divBdr>
        <w:top w:val="none" w:sz="0" w:space="0" w:color="auto"/>
        <w:left w:val="none" w:sz="0" w:space="0" w:color="auto"/>
        <w:bottom w:val="none" w:sz="0" w:space="0" w:color="auto"/>
        <w:right w:val="none" w:sz="0" w:space="0" w:color="auto"/>
      </w:divBdr>
    </w:div>
    <w:div w:id="487987857">
      <w:bodyDiv w:val="1"/>
      <w:marLeft w:val="0"/>
      <w:marRight w:val="0"/>
      <w:marTop w:val="0"/>
      <w:marBottom w:val="0"/>
      <w:divBdr>
        <w:top w:val="none" w:sz="0" w:space="0" w:color="auto"/>
        <w:left w:val="none" w:sz="0" w:space="0" w:color="auto"/>
        <w:bottom w:val="none" w:sz="0" w:space="0" w:color="auto"/>
        <w:right w:val="none" w:sz="0" w:space="0" w:color="auto"/>
      </w:divBdr>
    </w:div>
    <w:div w:id="647318516">
      <w:bodyDiv w:val="1"/>
      <w:marLeft w:val="0"/>
      <w:marRight w:val="0"/>
      <w:marTop w:val="0"/>
      <w:marBottom w:val="0"/>
      <w:divBdr>
        <w:top w:val="none" w:sz="0" w:space="0" w:color="auto"/>
        <w:left w:val="none" w:sz="0" w:space="0" w:color="auto"/>
        <w:bottom w:val="none" w:sz="0" w:space="0" w:color="auto"/>
        <w:right w:val="none" w:sz="0" w:space="0" w:color="auto"/>
      </w:divBdr>
    </w:div>
    <w:div w:id="685599857">
      <w:bodyDiv w:val="1"/>
      <w:marLeft w:val="0"/>
      <w:marRight w:val="0"/>
      <w:marTop w:val="0"/>
      <w:marBottom w:val="0"/>
      <w:divBdr>
        <w:top w:val="none" w:sz="0" w:space="0" w:color="auto"/>
        <w:left w:val="none" w:sz="0" w:space="0" w:color="auto"/>
        <w:bottom w:val="none" w:sz="0" w:space="0" w:color="auto"/>
        <w:right w:val="none" w:sz="0" w:space="0" w:color="auto"/>
      </w:divBdr>
    </w:div>
    <w:div w:id="739910785">
      <w:bodyDiv w:val="1"/>
      <w:marLeft w:val="0"/>
      <w:marRight w:val="0"/>
      <w:marTop w:val="0"/>
      <w:marBottom w:val="0"/>
      <w:divBdr>
        <w:top w:val="none" w:sz="0" w:space="0" w:color="auto"/>
        <w:left w:val="none" w:sz="0" w:space="0" w:color="auto"/>
        <w:bottom w:val="none" w:sz="0" w:space="0" w:color="auto"/>
        <w:right w:val="none" w:sz="0" w:space="0" w:color="auto"/>
      </w:divBdr>
    </w:div>
    <w:div w:id="918830906">
      <w:bodyDiv w:val="1"/>
      <w:marLeft w:val="0"/>
      <w:marRight w:val="0"/>
      <w:marTop w:val="0"/>
      <w:marBottom w:val="0"/>
      <w:divBdr>
        <w:top w:val="none" w:sz="0" w:space="0" w:color="auto"/>
        <w:left w:val="none" w:sz="0" w:space="0" w:color="auto"/>
        <w:bottom w:val="none" w:sz="0" w:space="0" w:color="auto"/>
        <w:right w:val="none" w:sz="0" w:space="0" w:color="auto"/>
      </w:divBdr>
    </w:div>
    <w:div w:id="1017535332">
      <w:bodyDiv w:val="1"/>
      <w:marLeft w:val="0"/>
      <w:marRight w:val="0"/>
      <w:marTop w:val="0"/>
      <w:marBottom w:val="0"/>
      <w:divBdr>
        <w:top w:val="none" w:sz="0" w:space="0" w:color="auto"/>
        <w:left w:val="none" w:sz="0" w:space="0" w:color="auto"/>
        <w:bottom w:val="none" w:sz="0" w:space="0" w:color="auto"/>
        <w:right w:val="none" w:sz="0" w:space="0" w:color="auto"/>
      </w:divBdr>
    </w:div>
    <w:div w:id="1024552900">
      <w:bodyDiv w:val="1"/>
      <w:marLeft w:val="0"/>
      <w:marRight w:val="0"/>
      <w:marTop w:val="0"/>
      <w:marBottom w:val="0"/>
      <w:divBdr>
        <w:top w:val="none" w:sz="0" w:space="0" w:color="auto"/>
        <w:left w:val="none" w:sz="0" w:space="0" w:color="auto"/>
        <w:bottom w:val="none" w:sz="0" w:space="0" w:color="auto"/>
        <w:right w:val="none" w:sz="0" w:space="0" w:color="auto"/>
      </w:divBdr>
    </w:div>
    <w:div w:id="1510557809">
      <w:bodyDiv w:val="1"/>
      <w:marLeft w:val="0"/>
      <w:marRight w:val="0"/>
      <w:marTop w:val="0"/>
      <w:marBottom w:val="0"/>
      <w:divBdr>
        <w:top w:val="none" w:sz="0" w:space="0" w:color="auto"/>
        <w:left w:val="none" w:sz="0" w:space="0" w:color="auto"/>
        <w:bottom w:val="none" w:sz="0" w:space="0" w:color="auto"/>
        <w:right w:val="none" w:sz="0" w:space="0" w:color="auto"/>
      </w:divBdr>
    </w:div>
    <w:div w:id="1536775054">
      <w:bodyDiv w:val="1"/>
      <w:marLeft w:val="0"/>
      <w:marRight w:val="0"/>
      <w:marTop w:val="0"/>
      <w:marBottom w:val="0"/>
      <w:divBdr>
        <w:top w:val="none" w:sz="0" w:space="0" w:color="auto"/>
        <w:left w:val="none" w:sz="0" w:space="0" w:color="auto"/>
        <w:bottom w:val="none" w:sz="0" w:space="0" w:color="auto"/>
        <w:right w:val="none" w:sz="0" w:space="0" w:color="auto"/>
      </w:divBdr>
    </w:div>
    <w:div w:id="1546064562">
      <w:bodyDiv w:val="1"/>
      <w:marLeft w:val="0"/>
      <w:marRight w:val="0"/>
      <w:marTop w:val="0"/>
      <w:marBottom w:val="0"/>
      <w:divBdr>
        <w:top w:val="none" w:sz="0" w:space="0" w:color="auto"/>
        <w:left w:val="none" w:sz="0" w:space="0" w:color="auto"/>
        <w:bottom w:val="none" w:sz="0" w:space="0" w:color="auto"/>
        <w:right w:val="none" w:sz="0" w:space="0" w:color="auto"/>
      </w:divBdr>
    </w:div>
    <w:div w:id="1911769841">
      <w:bodyDiv w:val="1"/>
      <w:marLeft w:val="0"/>
      <w:marRight w:val="0"/>
      <w:marTop w:val="0"/>
      <w:marBottom w:val="0"/>
      <w:divBdr>
        <w:top w:val="none" w:sz="0" w:space="0" w:color="auto"/>
        <w:left w:val="none" w:sz="0" w:space="0" w:color="auto"/>
        <w:bottom w:val="none" w:sz="0" w:space="0" w:color="auto"/>
        <w:right w:val="none" w:sz="0" w:space="0" w:color="auto"/>
      </w:divBdr>
    </w:div>
    <w:div w:id="1998537087">
      <w:bodyDiv w:val="1"/>
      <w:marLeft w:val="0"/>
      <w:marRight w:val="0"/>
      <w:marTop w:val="0"/>
      <w:marBottom w:val="0"/>
      <w:divBdr>
        <w:top w:val="none" w:sz="0" w:space="0" w:color="auto"/>
        <w:left w:val="none" w:sz="0" w:space="0" w:color="auto"/>
        <w:bottom w:val="none" w:sz="0" w:space="0" w:color="auto"/>
        <w:right w:val="none" w:sz="0" w:space="0" w:color="auto"/>
      </w:divBdr>
    </w:div>
    <w:div w:id="2067991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ustice.gov/opa/pr/son-joaquin-guzman-loera-aka-el-chapo-arraigned-federal-criminal-charges-following-h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gov/opa/pr/justice-department-announces-charges-against-sinaloa-cartel-s-global-oper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gov/opa/pr/justice-department-announces-eight-indictments-against-china-based-chemical-manufactur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ustice.gov/opa/pr/justice-department-announces-charges-against-china-based-chemical-manufacturing-companies" TargetMode="External"/><Relationship Id="rId4" Type="http://schemas.openxmlformats.org/officeDocument/2006/relationships/settings" Target="settings.xml"/><Relationship Id="rId9" Type="http://schemas.openxmlformats.org/officeDocument/2006/relationships/hyperlink" Target="https://www.dea.gov/stories/2023/2023-10/2023-10-06/message-dea-administrator-anne-milgram" TargetMode="External"/><Relationship Id="rId14" Type="http://schemas.openxmlformats.org/officeDocument/2006/relationships/hyperlink" Target="https://www.dea.gov/press-releases/2023/05/05/dea-operation-last-mile-tracks-down-sinaloa-and-jalisco-cartel-associ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64481-A901-4022-9547-5B68B6F1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Pfaff, Katherine M</dc:creator>
  <cp:keywords/>
  <dc:description/>
  <cp:lastModifiedBy>McKay, Kelly</cp:lastModifiedBy>
  <cp:revision>4</cp:revision>
  <dcterms:created xsi:type="dcterms:W3CDTF">2024-01-25T00:39:00Z</dcterms:created>
  <dcterms:modified xsi:type="dcterms:W3CDTF">2024-01-29T19:14:00Z</dcterms:modified>
</cp:coreProperties>
</file>